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ind w:left="0" w:right="0" w:hanging="0"/>
        <w:jc w:val="right"/>
        <w:rPr>
          <w:b/>
          <w:bCs/>
        </w:rPr>
      </w:pPr>
      <w:r>
        <w:rPr>
          <w:b/>
          <w:bCs/>
        </w:rPr>
        <w:t>Versión Pública</w:t>
      </w:r>
    </w:p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-1200150</wp:posOffset>
            </wp:positionH>
            <wp:positionV relativeFrom="paragraph">
              <wp:posOffset>-414655</wp:posOffset>
            </wp:positionV>
            <wp:extent cx="1497965" cy="1467485"/>
            <wp:effectExtent l="0" t="0" r="0" b="0"/>
            <wp:wrapTight wrapText="bothSides">
              <wp:wrapPolygon edited="0">
                <wp:start x="9952" y="323"/>
                <wp:lineTo x="5578" y="2110"/>
                <wp:lineTo x="5284" y="5687"/>
                <wp:lineTo x="5866" y="10452"/>
                <wp:lineTo x="10246" y="15216"/>
                <wp:lineTo x="611" y="15513"/>
                <wp:lineTo x="611" y="19986"/>
                <wp:lineTo x="18126" y="20876"/>
                <wp:lineTo x="19295" y="20876"/>
                <wp:lineTo x="19295" y="19986"/>
                <wp:lineTo x="20756" y="17898"/>
                <wp:lineTo x="19295" y="15216"/>
                <wp:lineTo x="10828" y="15216"/>
                <wp:lineTo x="16376" y="10748"/>
                <wp:lineTo x="16670" y="5687"/>
                <wp:lineTo x="16376" y="2110"/>
                <wp:lineTo x="11996" y="323"/>
                <wp:lineTo x="9952" y="323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ORDEN DEL DÍA</w:t>
      </w:r>
    </w:p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rPr>
          <w:b/>
          <w:bCs/>
          <w:color w:val="000000"/>
        </w:rPr>
        <w:tab/>
        <w:t>DÉCIMA TERCERA S</w:t>
      </w:r>
      <w:r>
        <w:rPr>
          <w:b/>
          <w:bCs/>
        </w:rPr>
        <w:t>ESIÓN ORDINARIA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DEL PLENO DEL TRIBUNAL SUPERIOR DE JUSTICIA</w:t>
      </w:r>
    </w:p>
    <w:p>
      <w:pPr>
        <w:pStyle w:val="Cuerpodetextoconsangra"/>
        <w:widowControl/>
        <w:suppressAutoHyphens w:val="true"/>
        <w:overflowPunct w:val="false"/>
        <w:bidi w:val="0"/>
        <w:spacing w:lineRule="auto" w:line="360" w:before="0" w:after="120"/>
        <w:ind w:left="0" w:right="283" w:hanging="0"/>
        <w:jc w:val="center"/>
        <w:rPr>
          <w:b/>
          <w:bCs/>
        </w:rPr>
      </w:pPr>
      <w:r>
        <w:rPr>
          <w:b/>
          <w:bCs/>
        </w:rPr>
        <w:t>ABRIL – 10 – 2024</w:t>
      </w:r>
    </w:p>
    <w:p>
      <w:pPr>
        <w:pStyle w:val="Cuerpodetextoconsangra"/>
        <w:widowControl/>
        <w:suppressAutoHyphens w:val="true"/>
        <w:overflowPunct w:val="false"/>
        <w:bidi w:val="0"/>
        <w:spacing w:lineRule="auto" w:line="360" w:before="0" w:after="120"/>
        <w:ind w:left="0" w:right="283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Cuerpodetexto"/>
        <w:numPr>
          <w:ilvl w:val="0"/>
          <w:numId w:val="1"/>
        </w:numPr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Lista de asistencia.</w:t>
      </w:r>
    </w:p>
    <w:p>
      <w:pPr>
        <w:pStyle w:val="Cuerpodetexto"/>
        <w:numPr>
          <w:ilvl w:val="0"/>
          <w:numId w:val="0"/>
        </w:numPr>
        <w:spacing w:lineRule="auto" w:line="276"/>
        <w:ind w:left="72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Declaratoria de integración del Pleno.</w:t>
      </w:r>
    </w:p>
    <w:p>
      <w:pPr>
        <w:pStyle w:val="Cuerpodetexto"/>
        <w:numPr>
          <w:ilvl w:val="0"/>
          <w:numId w:val="0"/>
        </w:numPr>
        <w:spacing w:lineRule="auto" w:line="276"/>
        <w:ind w:left="72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Aprobación, en su caso, del orden del día.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Aprobación, en su caso, del acta de la sesión celebrada en fecha 3 de abril de 202</w:t>
      </w:r>
      <w:r>
        <w:rPr>
          <w:rFonts w:cs="Arial" w:ascii="Arial" w:hAnsi="Arial"/>
          <w:b w:val="false"/>
          <w:i w:val="false"/>
          <w:iCs w:val="false"/>
          <w:sz w:val="24"/>
          <w:szCs w:val="24"/>
          <w:lang w:val="es-MX"/>
        </w:rPr>
        <w:t>4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  <w:b w:val="false"/>
          <w:bCs/>
          <w:i w:val="false"/>
          <w:iCs w:val="false"/>
          <w:color w:val="000000"/>
          <w:sz w:val="24"/>
          <w:szCs w:val="24"/>
          <w:lang w:val="es-ES_tradnl" w:eastAsia="es-ES"/>
        </w:rPr>
        <w:t>Aprobación, en su caso del acuerdo relativo 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s-MX" w:eastAsia="es-ES"/>
        </w:rPr>
        <w:t xml:space="preserve">l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MX" w:eastAsia="es-ES"/>
        </w:rPr>
        <w:t>recurso de queja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s-MX" w:eastAsia="es-ES"/>
        </w:rPr>
        <w:t xml:space="preserve"> interpuesto por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s-MX" w:eastAsia="es-ES"/>
        </w:rPr>
        <w:t>la parte actora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val="es-MX" w:eastAsia="es-ES"/>
        </w:rPr>
        <w:t xml:space="preserve"> en contra del auto de siete de enero de dos mil veinticuatro, emitido por el Pleno del Tribunal Superior de Justicia del Estado,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C9211E"/>
          <w:sz w:val="24"/>
          <w:szCs w:val="24"/>
          <w:lang w:val="es-MX" w:eastAsia="es-ES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MX" w:eastAsia="es-ES"/>
        </w:rPr>
        <w:t>dentro de</w:t>
      </w:r>
      <w:r>
        <w:rPr>
          <w:rFonts w:eastAsia="Times New Roman"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_tradnl" w:eastAsia="es-ES"/>
        </w:rPr>
        <w:t xml:space="preserve">l juicio de nulidad 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_tradnl" w:eastAsia="es-ES"/>
        </w:rPr>
        <w:t>JN-1/2024</w:t>
      </w:r>
      <w:r>
        <w:rPr>
          <w:rFonts w:eastAsia="Times New Roman"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_tradnl" w:eastAsia="es-ES"/>
        </w:rPr>
        <w:t xml:space="preserve"> promovido por la ahora recurrente en contra de </w:t>
      </w:r>
      <w:r>
        <w:rPr>
          <w:rFonts w:eastAsia="Times New Roman"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_tradnl" w:eastAsia="es-ES"/>
        </w:rPr>
        <w:t xml:space="preserve">un </w:t>
      </w:r>
      <w:r>
        <w:rPr>
          <w:rFonts w:eastAsia="Times New Roman"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_tradnl" w:eastAsia="es-ES"/>
        </w:rPr>
        <w:t>Juicio Sucesorio Intestamentario, expediente identificado con el número 418/2020 del índice del Juzgado Cuarto de Primera Instancia en materia Civil del Distrito Judicial de Saltillo.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/>
          <w:i w:val="false"/>
          <w:iCs w:val="false"/>
          <w:color w:val="000000"/>
          <w:sz w:val="24"/>
          <w:szCs w:val="24"/>
          <w:lang w:val="es-ES_tradnl" w:eastAsia="es-ES"/>
        </w:rPr>
        <w:t>Calificación de la excusa del Magistrado César Alejandro Saucedo Flores,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 para conocer del recurso de queja </w:t>
      </w:r>
      <w:r>
        <w:rPr>
          <w:rFonts w:eastAsia="Times New Roman" w:cs="Arial" w:ascii="Arial" w:hAnsi="Arial"/>
          <w:b/>
          <w:bCs/>
          <w:i w:val="false"/>
          <w:iCs w:val="false"/>
          <w:sz w:val="24"/>
          <w:szCs w:val="24"/>
          <w:lang w:val="es-ES_tradnl" w:eastAsia="es-ES"/>
        </w:rPr>
        <w:t>RQ-1/2024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 interpuesto por 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el 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apoderado general para pleitos y cobranzas en contra del auto definitivo de veinte de febrero de dos mil veinticuatro, dictado por el Magistrado Presidente de la Sala Colegiada Civil y Familiar del Tribunal Superior de Justicia del Estado de Coahuila de Zaragoza, dentro del expediente 4/2024 D.G.E. en contra del Hospital de Allende Coahuila, Servicios de Salud de Coahuila de Zaragoza, Secretaria de Salud del Estado de Coahuila de Zaragoza y otros.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Aprobación, en su caso del acuerdo relativo al procedimiento administrativo disciplinario </w:t>
      </w:r>
      <w:r>
        <w:rPr>
          <w:rFonts w:eastAsia="Times New Roman" w:cs="Arial" w:ascii="Arial" w:hAnsi="Arial"/>
          <w:b/>
          <w:bCs/>
          <w:i w:val="false"/>
          <w:iCs w:val="false"/>
          <w:sz w:val="24"/>
          <w:szCs w:val="24"/>
          <w:lang w:val="es-ES_tradnl" w:eastAsia="es-ES"/>
        </w:rPr>
        <w:t>A-1/2024-PLENO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, instruido en contra de 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>un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 auxiliar de la administración de justicia.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cs="Arial" w:ascii="Arial" w:hAnsi="Arial"/>
          <w:b w:val="false"/>
          <w:bCs/>
          <w:i w:val="false"/>
          <w:iCs/>
          <w:sz w:val="24"/>
          <w:szCs w:val="24"/>
          <w:lang w:val="es-MX" w:eastAsia="es-ES"/>
        </w:rPr>
        <w:t>Informes estadísticos:</w:t>
      </w:r>
    </w:p>
    <w:p>
      <w:pPr>
        <w:pStyle w:val="Normal"/>
        <w:numPr>
          <w:ilvl w:val="1"/>
          <w:numId w:val="1"/>
        </w:numPr>
        <w:spacing w:lineRule="auto" w:line="360" w:before="28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 xml:space="preserve">Sala Civil y Familiar 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>Sala Penal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>Sala Regional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>Primer Tribunal Distrital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>Segundo Tribunal Distrital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 w:val="false"/>
          <w:bCs/>
          <w:i w:val="false"/>
          <w:i w:val="false"/>
          <w:iCs/>
          <w:sz w:val="24"/>
          <w:szCs w:val="24"/>
          <w:lang w:val="es-MX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 xml:space="preserve">Tercer Tribunal Distrital </w:t>
      </w:r>
    </w:p>
    <w:p>
      <w:pPr>
        <w:pStyle w:val="Normal"/>
        <w:numPr>
          <w:ilvl w:val="1"/>
          <w:numId w:val="1"/>
        </w:numPr>
        <w:spacing w:lineRule="auto" w:line="360" w:before="0" w:after="280"/>
        <w:ind w:left="2008" w:right="0" w:hanging="360"/>
        <w:jc w:val="both"/>
        <w:rPr>
          <w:rFonts w:ascii="Arial" w:hAnsi="Arial" w:cs="Arial"/>
          <w:b w:val="false"/>
          <w:i w:val="false"/>
          <w:i w:val="false"/>
          <w:sz w:val="24"/>
          <w:szCs w:val="24"/>
        </w:rPr>
      </w:pPr>
      <w:r>
        <w:rPr>
          <w:rFonts w:eastAsia="Times New Roman" w:cs="Arial" w:ascii="Arial" w:hAnsi="Arial"/>
          <w:b w:val="false"/>
          <w:bCs/>
          <w:i w:val="false"/>
          <w:iCs/>
          <w:sz w:val="24"/>
          <w:szCs w:val="24"/>
          <w:lang w:val="es-ES_tradnl" w:eastAsia="es-ES"/>
        </w:rPr>
        <w:t>Cuarto Tribunal Distrital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>Informe de movimientos de personal.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09" w:right="0" w:hanging="180"/>
        <w:jc w:val="both"/>
        <w:rPr/>
      </w:pPr>
      <w:r>
        <w:rPr/>
        <w:t>Asuntos generales.</w:t>
      </w:r>
    </w:p>
    <w:p>
      <w:pPr>
        <w:pStyle w:val="ListParagraph"/>
        <w:spacing w:lineRule="auto" w:line="360"/>
        <w:ind w:left="709" w:right="0" w:hanging="0"/>
        <w:jc w:val="both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20" w:right="0" w:hanging="180"/>
        <w:jc w:val="both"/>
        <w:rPr>
          <w:b/>
          <w:i/>
          <w:i/>
          <w:iCs/>
        </w:rPr>
      </w:pPr>
      <w:r>
        <w:rPr/>
        <w:t xml:space="preserve">Clausura de sesión. </w:t>
      </w:r>
    </w:p>
    <w:sectPr>
      <w:footerReference w:type="default" r:id="rId3"/>
      <w:type w:val="nextPage"/>
      <w:pgSz w:w="12240" w:h="20160"/>
      <w:pgMar w:left="2268" w:right="1134" w:gutter="0" w:header="0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i w:val="false"/>
        <w:b/>
        <w:szCs w:val="24"/>
        <w:rFonts w:ascii="Arial" w:hAnsi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es-MX" w:eastAsia="en-US" w:bidi="ar-SA"/>
    </w:rPr>
  </w:style>
  <w:style w:type="character" w:styleId="DefaultParagraphFont">
    <w:name w:val="Default Paragraph Font"/>
    <w:qFormat/>
    <w:rPr/>
  </w:style>
  <w:style w:type="character" w:styleId="TextoindependienteCar">
    <w:name w:val="Texto independiente Car"/>
    <w:basedOn w:val="DefaultParagraphFont"/>
    <w:qFormat/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character" w:styleId="SangradetextonormalCar">
    <w:name w:val="Sangría de texto normal Car"/>
    <w:basedOn w:val="DefaultParagraphFont"/>
    <w:qFormat/>
    <w:rPr>
      <w:rFonts w:ascii="Arial" w:hAnsi="Arial" w:eastAsia="Times New Roman" w:cs="Arial"/>
      <w:sz w:val="24"/>
      <w:szCs w:val="24"/>
      <w:lang w:eastAsia="es-ES"/>
    </w:rPr>
  </w:style>
  <w:style w:type="character" w:styleId="TextodegloboCar">
    <w:name w:val="Texto de globo C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EncabezadoCar">
    <w:name w:val="Encabezado Car"/>
    <w:basedOn w:val="DefaultParagraphFont"/>
    <w:qFormat/>
    <w:rPr/>
  </w:style>
  <w:style w:type="character" w:styleId="PiedepginaCar">
    <w:name w:val="Pie de página Car"/>
    <w:basedOn w:val="DefaultParagraphFont"/>
    <w:qFormat/>
    <w:rPr/>
  </w:style>
  <w:style w:type="character" w:styleId="WW8Num1z0">
    <w:name w:val="WW8Num1z0"/>
    <w:qFormat/>
    <w:rPr>
      <w:rFonts w:ascii="Arial" w:hAnsi="Arial" w:cs="Arial"/>
      <w:b/>
      <w:i w:val="false"/>
      <w:iCs w:val="false"/>
      <w:sz w:val="24"/>
    </w:rPr>
  </w:style>
  <w:style w:type="character" w:styleId="WW8Num1z1">
    <w:name w:val="WW8Num1z1"/>
    <w:qFormat/>
    <w:rPr>
      <w:rFonts w:ascii="Arial" w:hAnsi="Arial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link w:val="SangradetextonormalCar"/>
    <w:pPr>
      <w:spacing w:lineRule="auto" w:line="240" w:before="0" w:after="120"/>
      <w:ind w:left="283" w:right="0" w:hanging="0"/>
    </w:pPr>
    <w:rPr>
      <w:rFonts w:ascii="Arial" w:hAnsi="Arial" w:eastAsia="Times New Roman" w:cs="Arial"/>
      <w:sz w:val="24"/>
      <w:szCs w:val="24"/>
      <w:lang w:eastAsia="es-ES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Arial" w:hAnsi="Arial" w:eastAsia="Times New Roman" w:cs="Arial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LibreOffice/7.5.3.2$Windows_X86_64 LibreOffice_project/9f56dff12ba03b9acd7730a5a481eea045e468f3</Application>
  <AppVersion>15.0000</AppVersion>
  <Pages>2</Pages>
  <Words>297</Words>
  <Characters>1585</Characters>
  <CharactersWithSpaces>1848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dc:language>es-MX</dc:language>
  <cp:lastModifiedBy>user user</cp:lastModifiedBy>
  <cp:lastPrinted>2024-04-09T10:06:27Z</cp:lastPrinted>
  <dcterms:modified xsi:type="dcterms:W3CDTF">2024-04-09T10:51:00Z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